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226BE" w14:textId="0F9D87FC" w:rsidR="00CA0EA8" w:rsidRDefault="005B40EA" w:rsidP="005B40EA">
      <w:pPr>
        <w:pStyle w:val="NoSpacing"/>
        <w:jc w:val="center"/>
        <w:rPr>
          <w:b/>
          <w:bCs/>
          <w:sz w:val="32"/>
          <w:szCs w:val="32"/>
        </w:rPr>
      </w:pPr>
      <w:r w:rsidRPr="005B40EA">
        <w:rPr>
          <w:b/>
          <w:bCs/>
          <w:sz w:val="32"/>
          <w:szCs w:val="32"/>
        </w:rPr>
        <w:t>Case Study: Covid-19 Second Vaccination</w:t>
      </w:r>
      <w:r>
        <w:rPr>
          <w:b/>
          <w:bCs/>
          <w:sz w:val="32"/>
          <w:szCs w:val="32"/>
        </w:rPr>
        <w:t xml:space="preserve"> </w:t>
      </w:r>
      <w:r w:rsidR="00C62E5E">
        <w:rPr>
          <w:b/>
          <w:bCs/>
          <w:sz w:val="32"/>
          <w:szCs w:val="32"/>
        </w:rPr>
        <w:t xml:space="preserve">with </w:t>
      </w:r>
      <w:r>
        <w:rPr>
          <w:b/>
          <w:bCs/>
          <w:sz w:val="32"/>
          <w:szCs w:val="32"/>
        </w:rPr>
        <w:t>Continuous Temperature Monitoring</w:t>
      </w:r>
      <w:r w:rsidR="00D2036E">
        <w:rPr>
          <w:b/>
          <w:bCs/>
          <w:sz w:val="32"/>
          <w:szCs w:val="32"/>
        </w:rPr>
        <w:t xml:space="preserve"> in Two Patients</w:t>
      </w:r>
    </w:p>
    <w:p w14:paraId="26D10CA8" w14:textId="247C281D" w:rsidR="005B40EA" w:rsidRDefault="005B40EA" w:rsidP="005B40EA">
      <w:pPr>
        <w:pStyle w:val="NoSpacing"/>
        <w:rPr>
          <w:sz w:val="20"/>
          <w:szCs w:val="20"/>
        </w:rPr>
      </w:pPr>
    </w:p>
    <w:p w14:paraId="4A1B9489" w14:textId="1F1E27DC" w:rsidR="005B40EA" w:rsidRDefault="005B40EA" w:rsidP="005B40EA">
      <w:pPr>
        <w:pStyle w:val="NoSpacing"/>
        <w:rPr>
          <w:sz w:val="20"/>
          <w:szCs w:val="20"/>
        </w:rPr>
      </w:pPr>
    </w:p>
    <w:p w14:paraId="2FC6A066" w14:textId="402721D7" w:rsidR="005B40EA" w:rsidRDefault="005B40EA" w:rsidP="005B40EA">
      <w:pPr>
        <w:pStyle w:val="NoSpacing"/>
        <w:rPr>
          <w:sz w:val="20"/>
          <w:szCs w:val="20"/>
        </w:rPr>
      </w:pPr>
      <w:r w:rsidRPr="005B40EA">
        <w:rPr>
          <w:sz w:val="20"/>
          <w:szCs w:val="20"/>
        </w:rPr>
        <w:t xml:space="preserve">COVID-19 vaccination </w:t>
      </w:r>
      <w:r w:rsidR="00A04704">
        <w:rPr>
          <w:sz w:val="20"/>
          <w:szCs w:val="20"/>
        </w:rPr>
        <w:t>helps</w:t>
      </w:r>
      <w:r w:rsidRPr="005B40EA">
        <w:rPr>
          <w:sz w:val="20"/>
          <w:szCs w:val="20"/>
        </w:rPr>
        <w:t xml:space="preserve"> protect </w:t>
      </w:r>
      <w:r w:rsidR="00A04704">
        <w:rPr>
          <w:sz w:val="20"/>
          <w:szCs w:val="20"/>
        </w:rPr>
        <w:t>the public</w:t>
      </w:r>
      <w:r w:rsidRPr="005B40EA">
        <w:rPr>
          <w:sz w:val="20"/>
          <w:szCs w:val="20"/>
        </w:rPr>
        <w:t xml:space="preserve">. </w:t>
      </w:r>
      <w:r w:rsidR="00A04704">
        <w:rPr>
          <w:sz w:val="20"/>
          <w:szCs w:val="20"/>
        </w:rPr>
        <w:t>Some</w:t>
      </w:r>
      <w:r w:rsidRPr="005B40EA">
        <w:rPr>
          <w:sz w:val="20"/>
          <w:szCs w:val="20"/>
        </w:rPr>
        <w:t xml:space="preserve"> </w:t>
      </w:r>
      <w:r w:rsidR="00791C0E">
        <w:rPr>
          <w:sz w:val="20"/>
          <w:szCs w:val="20"/>
        </w:rPr>
        <w:t xml:space="preserve">people </w:t>
      </w:r>
      <w:r w:rsidRPr="005B40EA">
        <w:rPr>
          <w:sz w:val="20"/>
          <w:szCs w:val="20"/>
        </w:rPr>
        <w:t>may have side effects, which are normal signs that</w:t>
      </w:r>
      <w:r w:rsidR="00A04704">
        <w:rPr>
          <w:sz w:val="20"/>
          <w:szCs w:val="20"/>
        </w:rPr>
        <w:t xml:space="preserve"> their</w:t>
      </w:r>
      <w:r w:rsidRPr="005B40EA">
        <w:rPr>
          <w:sz w:val="20"/>
          <w:szCs w:val="20"/>
        </w:rPr>
        <w:t xml:space="preserve"> body is building protection. </w:t>
      </w:r>
      <w:r w:rsidR="00536112" w:rsidRPr="00536112">
        <w:rPr>
          <w:sz w:val="20"/>
          <w:szCs w:val="20"/>
        </w:rPr>
        <w:t xml:space="preserve">The most common symptoms </w:t>
      </w:r>
      <w:r w:rsidR="00536112">
        <w:rPr>
          <w:sz w:val="20"/>
          <w:szCs w:val="20"/>
        </w:rPr>
        <w:t>are</w:t>
      </w:r>
      <w:r w:rsidR="00536112" w:rsidRPr="00536112">
        <w:rPr>
          <w:sz w:val="20"/>
          <w:szCs w:val="20"/>
        </w:rPr>
        <w:t xml:space="preserve"> injection site pain, headaches, flu-like symptoms, </w:t>
      </w:r>
      <w:r w:rsidR="00536112" w:rsidRPr="00536112">
        <w:rPr>
          <w:b/>
          <w:bCs/>
          <w:sz w:val="20"/>
          <w:szCs w:val="20"/>
        </w:rPr>
        <w:t>fever</w:t>
      </w:r>
      <w:r w:rsidR="00536112" w:rsidRPr="00536112">
        <w:rPr>
          <w:sz w:val="20"/>
          <w:szCs w:val="20"/>
        </w:rPr>
        <w:t>, and tiredness.</w:t>
      </w:r>
      <w:r w:rsidR="00536112">
        <w:rPr>
          <w:sz w:val="20"/>
          <w:szCs w:val="20"/>
        </w:rPr>
        <w:t xml:space="preserve"> </w:t>
      </w:r>
      <w:r w:rsidRPr="005B40EA">
        <w:rPr>
          <w:sz w:val="20"/>
          <w:szCs w:val="20"/>
        </w:rPr>
        <w:t xml:space="preserve">These </w:t>
      </w:r>
      <w:r w:rsidR="00791C0E">
        <w:rPr>
          <w:sz w:val="20"/>
          <w:szCs w:val="20"/>
        </w:rPr>
        <w:t xml:space="preserve">potential </w:t>
      </w:r>
      <w:r w:rsidRPr="005B40EA">
        <w:rPr>
          <w:sz w:val="20"/>
          <w:szCs w:val="20"/>
        </w:rPr>
        <w:t>side effects may affect abilit</w:t>
      </w:r>
      <w:r w:rsidR="00A04704">
        <w:rPr>
          <w:sz w:val="20"/>
          <w:szCs w:val="20"/>
        </w:rPr>
        <w:t>ies</w:t>
      </w:r>
      <w:r w:rsidRPr="005B40EA">
        <w:rPr>
          <w:sz w:val="20"/>
          <w:szCs w:val="20"/>
        </w:rPr>
        <w:t xml:space="preserve"> to do daily activities, but they </w:t>
      </w:r>
      <w:r w:rsidR="00A04704">
        <w:rPr>
          <w:sz w:val="20"/>
          <w:szCs w:val="20"/>
        </w:rPr>
        <w:t>usually</w:t>
      </w:r>
      <w:r w:rsidRPr="005B40EA">
        <w:rPr>
          <w:sz w:val="20"/>
          <w:szCs w:val="20"/>
        </w:rPr>
        <w:t xml:space="preserve"> go away in a few days.</w:t>
      </w:r>
      <w:r w:rsidR="00536112">
        <w:rPr>
          <w:sz w:val="20"/>
          <w:szCs w:val="20"/>
        </w:rPr>
        <w:t xml:space="preserve"> </w:t>
      </w:r>
      <w:r w:rsidRPr="005B40EA">
        <w:rPr>
          <w:sz w:val="20"/>
          <w:szCs w:val="20"/>
        </w:rPr>
        <w:t>Side effects after</w:t>
      </w:r>
      <w:r w:rsidR="00791C0E">
        <w:rPr>
          <w:sz w:val="20"/>
          <w:szCs w:val="20"/>
        </w:rPr>
        <w:t xml:space="preserve"> the</w:t>
      </w:r>
      <w:r w:rsidRPr="005B40EA">
        <w:rPr>
          <w:sz w:val="20"/>
          <w:szCs w:val="20"/>
        </w:rPr>
        <w:t xml:space="preserve"> </w:t>
      </w:r>
      <w:r w:rsidRPr="00A04704">
        <w:rPr>
          <w:b/>
          <w:bCs/>
          <w:sz w:val="20"/>
          <w:szCs w:val="20"/>
        </w:rPr>
        <w:t>second shot</w:t>
      </w:r>
      <w:r w:rsidRPr="005B40EA">
        <w:rPr>
          <w:sz w:val="20"/>
          <w:szCs w:val="20"/>
        </w:rPr>
        <w:t xml:space="preserve"> may be more intense than the ones experienced after </w:t>
      </w:r>
      <w:r w:rsidR="00791C0E">
        <w:rPr>
          <w:sz w:val="20"/>
          <w:szCs w:val="20"/>
        </w:rPr>
        <w:t>the</w:t>
      </w:r>
      <w:r w:rsidRPr="005B40EA">
        <w:rPr>
          <w:sz w:val="20"/>
          <w:szCs w:val="20"/>
        </w:rPr>
        <w:t xml:space="preserve"> first</w:t>
      </w:r>
      <w:r w:rsidR="00791C0E">
        <w:rPr>
          <w:sz w:val="20"/>
          <w:szCs w:val="20"/>
        </w:rPr>
        <w:t xml:space="preserve"> vaccination</w:t>
      </w:r>
      <w:r w:rsidRPr="005B40EA">
        <w:rPr>
          <w:sz w:val="20"/>
          <w:szCs w:val="20"/>
        </w:rPr>
        <w:t xml:space="preserve"> shot.</w:t>
      </w:r>
    </w:p>
    <w:p w14:paraId="65E60A10" w14:textId="77777777" w:rsidR="00A04704" w:rsidRDefault="00A04704" w:rsidP="005B40EA">
      <w:pPr>
        <w:pStyle w:val="NoSpacing"/>
        <w:rPr>
          <w:sz w:val="20"/>
          <w:szCs w:val="20"/>
        </w:rPr>
      </w:pPr>
    </w:p>
    <w:p w14:paraId="7B254306" w14:textId="4DFBC98A" w:rsidR="00A04704" w:rsidRDefault="00A04704" w:rsidP="005B40E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Additionally, </w:t>
      </w:r>
      <w:r w:rsidR="00536112">
        <w:rPr>
          <w:sz w:val="20"/>
          <w:szCs w:val="20"/>
        </w:rPr>
        <w:t>many now have</w:t>
      </w:r>
      <w:r>
        <w:rPr>
          <w:sz w:val="20"/>
          <w:szCs w:val="20"/>
        </w:rPr>
        <w:t xml:space="preserve"> questions about ‘next-steps’ for adults who received their first vaccination dose of the </w:t>
      </w:r>
      <w:r w:rsidR="00764246" w:rsidRPr="00764246">
        <w:rPr>
          <w:sz w:val="20"/>
          <w:szCs w:val="20"/>
        </w:rPr>
        <w:t xml:space="preserve">Oxford-AstraZeneca </w:t>
      </w:r>
      <w:r>
        <w:rPr>
          <w:sz w:val="20"/>
          <w:szCs w:val="20"/>
        </w:rPr>
        <w:t>vaccine</w:t>
      </w:r>
      <w:r w:rsidR="0053611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536112">
        <w:rPr>
          <w:sz w:val="20"/>
          <w:szCs w:val="20"/>
        </w:rPr>
        <w:t>A</w:t>
      </w:r>
      <w:r>
        <w:rPr>
          <w:sz w:val="20"/>
          <w:szCs w:val="20"/>
        </w:rPr>
        <w:t xml:space="preserve"> study was </w:t>
      </w:r>
      <w:r w:rsidR="00403265">
        <w:rPr>
          <w:sz w:val="20"/>
          <w:szCs w:val="20"/>
        </w:rPr>
        <w:t>p</w:t>
      </w:r>
      <w:r>
        <w:rPr>
          <w:sz w:val="20"/>
          <w:szCs w:val="20"/>
        </w:rPr>
        <w:t xml:space="preserve">ublished in </w:t>
      </w:r>
      <w:r w:rsidR="00403265" w:rsidRPr="00536112">
        <w:rPr>
          <w:b/>
          <w:bCs/>
          <w:i/>
          <w:iCs/>
          <w:sz w:val="20"/>
          <w:szCs w:val="20"/>
        </w:rPr>
        <w:t>The Lancet</w:t>
      </w:r>
      <w:r w:rsidR="00403265">
        <w:rPr>
          <w:sz w:val="20"/>
          <w:szCs w:val="20"/>
        </w:rPr>
        <w:t xml:space="preserve"> on May 12, 2021</w:t>
      </w:r>
      <w:r w:rsidR="00536112">
        <w:rPr>
          <w:sz w:val="20"/>
          <w:szCs w:val="20"/>
        </w:rPr>
        <w:t>,</w:t>
      </w:r>
      <w:r w:rsidR="00403265">
        <w:rPr>
          <w:sz w:val="20"/>
          <w:szCs w:val="20"/>
        </w:rPr>
        <w:t xml:space="preserve"> reporting that a</w:t>
      </w:r>
      <w:r w:rsidR="005B40EA" w:rsidRPr="005B40EA">
        <w:rPr>
          <w:sz w:val="20"/>
          <w:szCs w:val="20"/>
        </w:rPr>
        <w:t xml:space="preserve">dults 50 and older who received doses of both the </w:t>
      </w:r>
      <w:r w:rsidR="00764246" w:rsidRPr="00764246">
        <w:rPr>
          <w:sz w:val="20"/>
          <w:szCs w:val="20"/>
        </w:rPr>
        <w:t xml:space="preserve">Oxford-AstraZeneca </w:t>
      </w:r>
      <w:r w:rsidR="00403265">
        <w:rPr>
          <w:sz w:val="20"/>
          <w:szCs w:val="20"/>
        </w:rPr>
        <w:t xml:space="preserve">and </w:t>
      </w:r>
      <w:r w:rsidR="00403265" w:rsidRPr="00403265">
        <w:rPr>
          <w:sz w:val="20"/>
          <w:szCs w:val="20"/>
        </w:rPr>
        <w:t>Pfizer/BioNTech</w:t>
      </w:r>
      <w:r w:rsidR="005B40EA" w:rsidRPr="005B40EA">
        <w:rPr>
          <w:sz w:val="20"/>
          <w:szCs w:val="20"/>
        </w:rPr>
        <w:t xml:space="preserve"> COVID-19 vaccines reported more mild and moderate side effects than those given only one type of two-dose vaccine</w:t>
      </w:r>
      <w:r w:rsidR="00403265">
        <w:rPr>
          <w:sz w:val="20"/>
          <w:szCs w:val="20"/>
        </w:rPr>
        <w:t>. According to this study, t</w:t>
      </w:r>
      <w:r w:rsidRPr="00A04704">
        <w:rPr>
          <w:sz w:val="20"/>
          <w:szCs w:val="20"/>
        </w:rPr>
        <w:t xml:space="preserve">he groups receiving two different vaccines had more systemic reactions after the second dose than after the first, the </w:t>
      </w:r>
      <w:r w:rsidRPr="00403265">
        <w:rPr>
          <w:b/>
          <w:bCs/>
          <w:sz w:val="20"/>
          <w:szCs w:val="20"/>
        </w:rPr>
        <w:t>most common of which was fever</w:t>
      </w:r>
      <w:r w:rsidRPr="00A04704">
        <w:rPr>
          <w:sz w:val="20"/>
          <w:szCs w:val="20"/>
        </w:rPr>
        <w:t>.</w:t>
      </w:r>
    </w:p>
    <w:p w14:paraId="333AB1C4" w14:textId="49E90004" w:rsidR="00403265" w:rsidRDefault="00403265" w:rsidP="005B40EA">
      <w:pPr>
        <w:pStyle w:val="NoSpacing"/>
        <w:rPr>
          <w:sz w:val="20"/>
          <w:szCs w:val="20"/>
        </w:rPr>
      </w:pPr>
    </w:p>
    <w:p w14:paraId="0AB27ACA" w14:textId="5CF39AB8" w:rsidR="00536112" w:rsidRDefault="00536112" w:rsidP="005B40EA">
      <w:pPr>
        <w:pStyle w:val="NoSpacing"/>
        <w:rPr>
          <w:sz w:val="20"/>
          <w:szCs w:val="20"/>
        </w:rPr>
      </w:pPr>
      <w:r w:rsidRPr="00536112">
        <w:rPr>
          <w:b/>
          <w:bCs/>
          <w:sz w:val="20"/>
          <w:szCs w:val="20"/>
        </w:rPr>
        <w:t>TempTraq</w:t>
      </w:r>
      <w:r>
        <w:rPr>
          <w:sz w:val="20"/>
          <w:szCs w:val="20"/>
        </w:rPr>
        <w:t xml:space="preserve"> is a new Continuous, Real-Time Body Temperature Monitoring System that uses a 72-Hour Patch enabled with Bluetooth. </w:t>
      </w:r>
      <w:r w:rsidRPr="00536112">
        <w:rPr>
          <w:sz w:val="20"/>
          <w:szCs w:val="20"/>
        </w:rPr>
        <w:t>TempTraq is an FDA Cleared</w:t>
      </w:r>
      <w:r>
        <w:rPr>
          <w:sz w:val="20"/>
          <w:szCs w:val="20"/>
        </w:rPr>
        <w:t>, Health Canada registered</w:t>
      </w:r>
      <w:r w:rsidRPr="00536112">
        <w:rPr>
          <w:sz w:val="20"/>
          <w:szCs w:val="20"/>
        </w:rPr>
        <w:t xml:space="preserve"> Class II medical device that gives Healthcare providers the first wireless continuous temperature monitor in the form of a soft, comfortable, disposable patch. TempTraq can significantly improve the way temperature is measured in the clinical environment and provide clinicians a quicker, easier, and more effective way to measure temperature</w:t>
      </w:r>
      <w:r>
        <w:rPr>
          <w:sz w:val="20"/>
          <w:szCs w:val="20"/>
        </w:rPr>
        <w:t xml:space="preserve"> in hospital or remotely from patient’s homes.</w:t>
      </w:r>
    </w:p>
    <w:p w14:paraId="08837E3B" w14:textId="378E5ACD" w:rsidR="00C62E5E" w:rsidRDefault="00C62E5E" w:rsidP="005B40EA">
      <w:pPr>
        <w:pStyle w:val="NoSpacing"/>
        <w:rPr>
          <w:sz w:val="20"/>
          <w:szCs w:val="20"/>
        </w:rPr>
      </w:pPr>
    </w:p>
    <w:p w14:paraId="75D2D558" w14:textId="0E947981" w:rsidR="000E6BDA" w:rsidRDefault="00C62E5E" w:rsidP="005B40E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 t</w:t>
      </w:r>
      <w:r w:rsidR="00791C0E">
        <w:rPr>
          <w:sz w:val="20"/>
          <w:szCs w:val="20"/>
        </w:rPr>
        <w:t>he TempTraq temperature patch recording below</w:t>
      </w:r>
      <w:r>
        <w:rPr>
          <w:sz w:val="20"/>
          <w:szCs w:val="20"/>
        </w:rPr>
        <w:t xml:space="preserve">, </w:t>
      </w:r>
      <w:r w:rsidR="00E87CAE">
        <w:rPr>
          <w:sz w:val="20"/>
          <w:szCs w:val="20"/>
        </w:rPr>
        <w:t>t</w:t>
      </w:r>
      <w:r w:rsidR="00791C0E">
        <w:rPr>
          <w:sz w:val="20"/>
          <w:szCs w:val="20"/>
        </w:rPr>
        <w:t>he</w:t>
      </w:r>
      <w:r>
        <w:rPr>
          <w:sz w:val="20"/>
          <w:szCs w:val="20"/>
        </w:rPr>
        <w:t xml:space="preserve"> patient receiving their 2</w:t>
      </w:r>
      <w:r w:rsidRPr="00C62E5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Covid 19 vaccination (</w:t>
      </w:r>
      <w:proofErr w:type="spellStart"/>
      <w:r w:rsidR="00E0065A" w:rsidRPr="00E0065A">
        <w:rPr>
          <w:sz w:val="20"/>
          <w:szCs w:val="20"/>
        </w:rPr>
        <w:t>Moderna</w:t>
      </w:r>
      <w:proofErr w:type="spellEnd"/>
      <w:r w:rsidR="00E0065A" w:rsidRPr="00E0065A">
        <w:rPr>
          <w:sz w:val="20"/>
          <w:szCs w:val="20"/>
        </w:rPr>
        <w:t>-NIAID</w:t>
      </w:r>
      <w:r>
        <w:rPr>
          <w:sz w:val="20"/>
          <w:szCs w:val="20"/>
        </w:rPr>
        <w:t>)</w:t>
      </w:r>
      <w:r w:rsidR="00791C0E">
        <w:rPr>
          <w:sz w:val="20"/>
          <w:szCs w:val="20"/>
        </w:rPr>
        <w:t xml:space="preserve">. We can see </w:t>
      </w:r>
      <w:r w:rsidR="00CF6036">
        <w:rPr>
          <w:sz w:val="20"/>
          <w:szCs w:val="20"/>
        </w:rPr>
        <w:t>a change</w:t>
      </w:r>
      <w:r w:rsidR="00791C0E">
        <w:rPr>
          <w:sz w:val="20"/>
          <w:szCs w:val="20"/>
        </w:rPr>
        <w:t xml:space="preserve"> in body temperature</w:t>
      </w:r>
      <w:r w:rsidR="00E0065A">
        <w:rPr>
          <w:sz w:val="20"/>
          <w:szCs w:val="20"/>
        </w:rPr>
        <w:t>, rising from</w:t>
      </w:r>
      <w:r w:rsidR="006F567E">
        <w:rPr>
          <w:sz w:val="20"/>
          <w:szCs w:val="20"/>
        </w:rPr>
        <w:t xml:space="preserve"> ‘normal’ </w:t>
      </w:r>
      <w:r w:rsidR="006F567E" w:rsidRPr="006F567E">
        <w:rPr>
          <w:b/>
          <w:bCs/>
          <w:color w:val="538135" w:themeColor="accent6" w:themeShade="BF"/>
          <w:sz w:val="20"/>
          <w:szCs w:val="20"/>
        </w:rPr>
        <w:t>GREEN</w:t>
      </w:r>
      <w:r w:rsidR="006F567E">
        <w:rPr>
          <w:sz w:val="20"/>
          <w:szCs w:val="20"/>
        </w:rPr>
        <w:t xml:space="preserve"> (38.0</w:t>
      </w:r>
      <w:r w:rsidR="006F567E" w:rsidRPr="006F567E">
        <w:rPr>
          <w:sz w:val="20"/>
          <w:szCs w:val="20"/>
        </w:rPr>
        <w:t>°</w:t>
      </w:r>
      <w:r w:rsidR="006F567E">
        <w:rPr>
          <w:sz w:val="20"/>
          <w:szCs w:val="20"/>
        </w:rPr>
        <w:t>C)</w:t>
      </w:r>
      <w:r w:rsidR="00E0065A">
        <w:rPr>
          <w:sz w:val="20"/>
          <w:szCs w:val="20"/>
        </w:rPr>
        <w:t xml:space="preserve">, through </w:t>
      </w:r>
      <w:r w:rsidR="006F567E" w:rsidRPr="006F567E">
        <w:rPr>
          <w:b/>
          <w:bCs/>
          <w:color w:val="FF9900"/>
          <w:sz w:val="20"/>
          <w:szCs w:val="20"/>
        </w:rPr>
        <w:t>ORANGE</w:t>
      </w:r>
      <w:r w:rsidR="006F567E">
        <w:rPr>
          <w:sz w:val="20"/>
          <w:szCs w:val="20"/>
        </w:rPr>
        <w:t xml:space="preserve"> (&gt;</w:t>
      </w:r>
      <w:r w:rsidR="00E0065A">
        <w:rPr>
          <w:sz w:val="20"/>
          <w:szCs w:val="20"/>
        </w:rPr>
        <w:t xml:space="preserve"> </w:t>
      </w:r>
      <w:r w:rsidR="006F567E" w:rsidRPr="006F567E">
        <w:rPr>
          <w:sz w:val="20"/>
          <w:szCs w:val="20"/>
        </w:rPr>
        <w:t>38.0°C</w:t>
      </w:r>
      <w:r w:rsidR="006F567E">
        <w:rPr>
          <w:sz w:val="20"/>
          <w:szCs w:val="20"/>
        </w:rPr>
        <w:t xml:space="preserve">) </w:t>
      </w:r>
      <w:r w:rsidR="00E0065A">
        <w:rPr>
          <w:sz w:val="20"/>
          <w:szCs w:val="20"/>
        </w:rPr>
        <w:t xml:space="preserve">to </w:t>
      </w:r>
      <w:r w:rsidR="006F567E" w:rsidRPr="006F567E">
        <w:rPr>
          <w:b/>
          <w:bCs/>
          <w:color w:val="FF0000"/>
          <w:sz w:val="20"/>
          <w:szCs w:val="20"/>
        </w:rPr>
        <w:t>RED</w:t>
      </w:r>
      <w:r w:rsidR="00E0065A">
        <w:rPr>
          <w:sz w:val="20"/>
          <w:szCs w:val="20"/>
        </w:rPr>
        <w:t xml:space="preserve"> (</w:t>
      </w:r>
      <w:r w:rsidR="006F567E">
        <w:rPr>
          <w:sz w:val="20"/>
          <w:szCs w:val="20"/>
        </w:rPr>
        <w:t xml:space="preserve">equal to, or higher than the ‘alert’ temperature set </w:t>
      </w:r>
      <w:r w:rsidR="000E6BDA">
        <w:rPr>
          <w:sz w:val="20"/>
          <w:szCs w:val="20"/>
        </w:rPr>
        <w:t>for that patient),</w:t>
      </w:r>
      <w:r w:rsidR="00E0065A">
        <w:rPr>
          <w:sz w:val="20"/>
          <w:szCs w:val="20"/>
        </w:rPr>
        <w:t xml:space="preserve"> from 12 noon through 6pm. </w:t>
      </w:r>
    </w:p>
    <w:p w14:paraId="6795E3F0" w14:textId="77777777" w:rsidR="000E6BDA" w:rsidRDefault="000E6BDA" w:rsidP="005B40EA">
      <w:pPr>
        <w:pStyle w:val="NoSpacing"/>
        <w:rPr>
          <w:sz w:val="20"/>
          <w:szCs w:val="20"/>
        </w:rPr>
      </w:pPr>
    </w:p>
    <w:p w14:paraId="6B3E3B3E" w14:textId="2CC34F05" w:rsidR="00C62E5E" w:rsidRDefault="00E0065A" w:rsidP="005B40E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patient was symptomatic, consistent with post Covid 1</w:t>
      </w:r>
      <w:r w:rsidR="00CF6036">
        <w:rPr>
          <w:sz w:val="20"/>
          <w:szCs w:val="20"/>
        </w:rPr>
        <w:t>9</w:t>
      </w:r>
      <w:r>
        <w:rPr>
          <w:sz w:val="20"/>
          <w:szCs w:val="20"/>
        </w:rPr>
        <w:t xml:space="preserve"> vaccinations reported by patients of flu like </w:t>
      </w:r>
      <w:r w:rsidR="000E6BDA">
        <w:rPr>
          <w:sz w:val="20"/>
          <w:szCs w:val="20"/>
        </w:rPr>
        <w:t>s</w:t>
      </w:r>
      <w:r>
        <w:rPr>
          <w:sz w:val="20"/>
          <w:szCs w:val="20"/>
        </w:rPr>
        <w:t xml:space="preserve">ymptoms. This individual </w:t>
      </w:r>
      <w:r w:rsidR="000E6BDA">
        <w:rPr>
          <w:sz w:val="20"/>
          <w:szCs w:val="20"/>
        </w:rPr>
        <w:t>took</w:t>
      </w:r>
      <w:r>
        <w:rPr>
          <w:sz w:val="20"/>
          <w:szCs w:val="20"/>
        </w:rPr>
        <w:t xml:space="preserve"> </w:t>
      </w:r>
      <w:r w:rsidR="00F356EA">
        <w:rPr>
          <w:sz w:val="20"/>
          <w:szCs w:val="20"/>
        </w:rPr>
        <w:t>Tylenol</w:t>
      </w:r>
      <w:r w:rsidR="00CF6036">
        <w:rPr>
          <w:sz w:val="20"/>
          <w:szCs w:val="20"/>
        </w:rPr>
        <w:t xml:space="preserve"> in response their ongoing fever at 6:00 pm</w:t>
      </w:r>
      <w:r w:rsidR="000E6BDA">
        <w:rPr>
          <w:sz w:val="20"/>
          <w:szCs w:val="20"/>
        </w:rPr>
        <w:t>. F</w:t>
      </w:r>
      <w:r w:rsidR="00F356EA">
        <w:rPr>
          <w:sz w:val="20"/>
          <w:szCs w:val="20"/>
        </w:rPr>
        <w:t>rom the graph below, we can see this medication did help return the individual’s temperature to the ‘</w:t>
      </w:r>
      <w:r w:rsidR="006F567E" w:rsidRPr="000E6BDA">
        <w:rPr>
          <w:b/>
          <w:bCs/>
          <w:color w:val="538135" w:themeColor="accent6" w:themeShade="BF"/>
          <w:sz w:val="20"/>
          <w:szCs w:val="20"/>
        </w:rPr>
        <w:t>GREEN</w:t>
      </w:r>
      <w:r w:rsidR="006F567E">
        <w:rPr>
          <w:sz w:val="20"/>
          <w:szCs w:val="20"/>
        </w:rPr>
        <w:t>’ (</w:t>
      </w:r>
      <w:r w:rsidR="000E6BDA">
        <w:rPr>
          <w:sz w:val="20"/>
          <w:szCs w:val="20"/>
        </w:rPr>
        <w:t xml:space="preserve">at, or </w:t>
      </w:r>
      <w:r w:rsidR="006F567E">
        <w:rPr>
          <w:sz w:val="20"/>
          <w:szCs w:val="20"/>
        </w:rPr>
        <w:t xml:space="preserve">below </w:t>
      </w:r>
      <w:r w:rsidR="000E6BDA" w:rsidRPr="000E6BDA">
        <w:rPr>
          <w:sz w:val="20"/>
          <w:szCs w:val="20"/>
        </w:rPr>
        <w:t>38.0°C</w:t>
      </w:r>
      <w:r w:rsidR="000E6BDA">
        <w:rPr>
          <w:sz w:val="20"/>
          <w:szCs w:val="20"/>
        </w:rPr>
        <w:t>)</w:t>
      </w:r>
      <w:r w:rsidR="00F356EA">
        <w:rPr>
          <w:sz w:val="20"/>
          <w:szCs w:val="20"/>
        </w:rPr>
        <w:t>. T</w:t>
      </w:r>
      <w:r w:rsidR="000E6BDA">
        <w:rPr>
          <w:sz w:val="20"/>
          <w:szCs w:val="20"/>
        </w:rPr>
        <w:t>he patient’s</w:t>
      </w:r>
      <w:r w:rsidR="00F356EA">
        <w:rPr>
          <w:sz w:val="20"/>
          <w:szCs w:val="20"/>
        </w:rPr>
        <w:t xml:space="preserve"> body temperatures did not rise for the remainder of the 72</w:t>
      </w:r>
      <w:r w:rsidR="000E6BDA">
        <w:rPr>
          <w:sz w:val="20"/>
          <w:szCs w:val="20"/>
        </w:rPr>
        <w:t>-</w:t>
      </w:r>
      <w:r w:rsidR="00F356EA">
        <w:rPr>
          <w:sz w:val="20"/>
          <w:szCs w:val="20"/>
        </w:rPr>
        <w:t>hour temperature surveillance</w:t>
      </w:r>
      <w:r w:rsidR="000E6BDA">
        <w:rPr>
          <w:sz w:val="20"/>
          <w:szCs w:val="20"/>
        </w:rPr>
        <w:t xml:space="preserve"> on the TempTraq patch.</w:t>
      </w:r>
    </w:p>
    <w:p w14:paraId="783C5B2B" w14:textId="100498AA" w:rsidR="00791C0E" w:rsidRDefault="00791C0E" w:rsidP="00440A88">
      <w:pPr>
        <w:pStyle w:val="NoSpacing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5F8ED9E" wp14:editId="4A4DEEB7">
            <wp:extent cx="5438775" cy="197798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712" cy="1987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9578DD" w14:textId="09088132" w:rsidR="00C62E5E" w:rsidRDefault="00C62E5E" w:rsidP="005B40EA">
      <w:pPr>
        <w:pStyle w:val="NoSpacing"/>
        <w:rPr>
          <w:sz w:val="20"/>
          <w:szCs w:val="20"/>
        </w:rPr>
      </w:pPr>
    </w:p>
    <w:p w14:paraId="2591764E" w14:textId="77777777" w:rsidR="001D0041" w:rsidRDefault="00F356EA" w:rsidP="005B40E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In the second case we can see </w:t>
      </w:r>
      <w:r w:rsidR="00BC223A">
        <w:rPr>
          <w:sz w:val="20"/>
          <w:szCs w:val="20"/>
        </w:rPr>
        <w:t xml:space="preserve">from the TempTraq recording </w:t>
      </w:r>
      <w:r w:rsidR="00CF6036">
        <w:rPr>
          <w:sz w:val="20"/>
          <w:szCs w:val="20"/>
        </w:rPr>
        <w:t xml:space="preserve">with </w:t>
      </w:r>
      <w:r>
        <w:rPr>
          <w:sz w:val="20"/>
          <w:szCs w:val="20"/>
        </w:rPr>
        <w:t>three high temperature events recorded post vaccination. Again, the patient’s flu like symptoms were consistent with what many report post 2</w:t>
      </w:r>
      <w:r w:rsidRPr="00F356E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vaccinations. In this case, the patient again took </w:t>
      </w:r>
      <w:r w:rsidR="00BC223A">
        <w:rPr>
          <w:sz w:val="20"/>
          <w:szCs w:val="20"/>
        </w:rPr>
        <w:t>three</w:t>
      </w:r>
      <w:r w:rsidR="00CF6036">
        <w:rPr>
          <w:sz w:val="20"/>
          <w:szCs w:val="20"/>
        </w:rPr>
        <w:t xml:space="preserve"> separate </w:t>
      </w:r>
      <w:r w:rsidR="00BC223A">
        <w:rPr>
          <w:sz w:val="20"/>
          <w:szCs w:val="20"/>
        </w:rPr>
        <w:t xml:space="preserve">doses of </w:t>
      </w:r>
      <w:r>
        <w:rPr>
          <w:sz w:val="20"/>
          <w:szCs w:val="20"/>
        </w:rPr>
        <w:t>medication to manage fever</w:t>
      </w:r>
      <w:r w:rsidR="00BC223A">
        <w:rPr>
          <w:sz w:val="20"/>
          <w:szCs w:val="20"/>
        </w:rPr>
        <w:t>, with temperature lowering effects of the medication observed between 5</w:t>
      </w:r>
      <w:r w:rsidR="00CF6036">
        <w:rPr>
          <w:sz w:val="20"/>
          <w:szCs w:val="20"/>
        </w:rPr>
        <w:t xml:space="preserve">:00 </w:t>
      </w:r>
      <w:r w:rsidR="00BC223A">
        <w:rPr>
          <w:sz w:val="20"/>
          <w:szCs w:val="20"/>
        </w:rPr>
        <w:t>am that day</w:t>
      </w:r>
      <w:r w:rsidR="000E6BDA">
        <w:rPr>
          <w:sz w:val="20"/>
          <w:szCs w:val="20"/>
        </w:rPr>
        <w:t>, 12 noon, and again at 6</w:t>
      </w:r>
      <w:r w:rsidR="00CF6036">
        <w:rPr>
          <w:sz w:val="20"/>
          <w:szCs w:val="20"/>
        </w:rPr>
        <w:t xml:space="preserve">:00 </w:t>
      </w:r>
      <w:r w:rsidR="000E6BDA">
        <w:rPr>
          <w:sz w:val="20"/>
          <w:szCs w:val="20"/>
        </w:rPr>
        <w:t xml:space="preserve">pm, with temperatures rising as the effects of Tylenol </w:t>
      </w:r>
      <w:r w:rsidR="001D0041">
        <w:rPr>
          <w:sz w:val="20"/>
          <w:szCs w:val="20"/>
        </w:rPr>
        <w:t>dose wore off over time.</w:t>
      </w:r>
      <w:r w:rsidR="00D2036E">
        <w:rPr>
          <w:sz w:val="20"/>
          <w:szCs w:val="20"/>
        </w:rPr>
        <w:t xml:space="preserve"> </w:t>
      </w:r>
    </w:p>
    <w:p w14:paraId="265120D9" w14:textId="5474561C" w:rsidR="00F356EA" w:rsidRDefault="00D2036E" w:rsidP="005B40E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The patient was able to monitor their </w:t>
      </w:r>
      <w:r w:rsidR="00810764">
        <w:rPr>
          <w:sz w:val="20"/>
          <w:szCs w:val="20"/>
        </w:rPr>
        <w:t xml:space="preserve">‘real-time’ temperatures and could see temperatures trending higher well ahead of triggering pre-set alerts. With this information, the patient was able to medically control their fever and symptoms with Tylenol. </w:t>
      </w:r>
    </w:p>
    <w:p w14:paraId="39E772DD" w14:textId="04B38153" w:rsidR="00C62E5E" w:rsidRDefault="00E87CAE" w:rsidP="00C62E5E">
      <w:pPr>
        <w:pStyle w:val="NoSpacing"/>
        <w:jc w:val="center"/>
        <w:rPr>
          <w:sz w:val="20"/>
          <w:szCs w:val="20"/>
        </w:rPr>
      </w:pPr>
      <w:r w:rsidRPr="00E87CAE">
        <w:rPr>
          <w:noProof/>
          <w:sz w:val="20"/>
          <w:szCs w:val="20"/>
        </w:rPr>
        <w:drawing>
          <wp:inline distT="0" distB="0" distL="0" distR="0" wp14:anchorId="359D9A9B" wp14:editId="22012E52">
            <wp:extent cx="5362575" cy="1932475"/>
            <wp:effectExtent l="0" t="0" r="0" b="0"/>
            <wp:docPr id="1" name="Picture 1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ar 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3543" cy="193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0F097" w14:textId="77777777" w:rsidR="00440A88" w:rsidRDefault="00440A88" w:rsidP="00D2036E">
      <w:pPr>
        <w:pStyle w:val="NoSpacing"/>
      </w:pPr>
    </w:p>
    <w:tbl>
      <w:tblPr>
        <w:tblStyle w:val="PlainTable3"/>
        <w:tblW w:w="0" w:type="auto"/>
        <w:tblLook w:val="0600" w:firstRow="0" w:lastRow="0" w:firstColumn="0" w:lastColumn="0" w:noHBand="1" w:noVBand="1"/>
      </w:tblPr>
      <w:tblGrid>
        <w:gridCol w:w="4962"/>
        <w:gridCol w:w="4388"/>
      </w:tblGrid>
      <w:tr w:rsidR="00440A88" w14:paraId="7ADB49D1" w14:textId="77777777" w:rsidTr="00440A88">
        <w:tc>
          <w:tcPr>
            <w:tcW w:w="4962" w:type="dxa"/>
          </w:tcPr>
          <w:p w14:paraId="01F5DFD8" w14:textId="77777777" w:rsidR="001D0041" w:rsidRDefault="001D0041" w:rsidP="00D2036E">
            <w:pPr>
              <w:pStyle w:val="NoSpacing"/>
              <w:rPr>
                <w:sz w:val="20"/>
                <w:szCs w:val="20"/>
              </w:rPr>
            </w:pPr>
          </w:p>
          <w:p w14:paraId="1A7508B9" w14:textId="77777777" w:rsidR="001D0041" w:rsidRDefault="001D0041" w:rsidP="00D2036E">
            <w:pPr>
              <w:pStyle w:val="NoSpacing"/>
              <w:rPr>
                <w:sz w:val="20"/>
                <w:szCs w:val="20"/>
              </w:rPr>
            </w:pPr>
          </w:p>
          <w:p w14:paraId="5B69F758" w14:textId="50990C2D" w:rsidR="00440A88" w:rsidRPr="001D0041" w:rsidRDefault="00440A88" w:rsidP="00D2036E">
            <w:pPr>
              <w:pStyle w:val="NoSpacing"/>
              <w:rPr>
                <w:sz w:val="20"/>
                <w:szCs w:val="20"/>
              </w:rPr>
            </w:pPr>
            <w:r w:rsidRPr="001D0041">
              <w:rPr>
                <w:sz w:val="20"/>
                <w:szCs w:val="20"/>
              </w:rPr>
              <w:t xml:space="preserve">The TempTraq system was highly effective in tracking temperatures over the 72-hour period monitoring periods. Patients placed the soft pliable patches under-the-arm ‘axillary’ to record temperatures, and this is converted to a familiar oral temperature which is displayed on the TempTraq app.  The wireless patches were well tolerated by the patients (reporting that they </w:t>
            </w:r>
            <w:proofErr w:type="gramStart"/>
            <w:r w:rsidRPr="001D0041">
              <w:rPr>
                <w:sz w:val="20"/>
                <w:szCs w:val="20"/>
              </w:rPr>
              <w:t>actually forgot</w:t>
            </w:r>
            <w:proofErr w:type="gramEnd"/>
            <w:r w:rsidRPr="001D0041">
              <w:rPr>
                <w:sz w:val="20"/>
                <w:szCs w:val="20"/>
              </w:rPr>
              <w:t xml:space="preserve"> they were wearing the patch).</w:t>
            </w:r>
          </w:p>
          <w:p w14:paraId="1BE9A659" w14:textId="77777777" w:rsidR="00440A88" w:rsidRPr="001D0041" w:rsidRDefault="00440A88" w:rsidP="00D2036E">
            <w:pPr>
              <w:pStyle w:val="NoSpacing"/>
              <w:rPr>
                <w:sz w:val="20"/>
                <w:szCs w:val="20"/>
              </w:rPr>
            </w:pPr>
          </w:p>
          <w:p w14:paraId="47646748" w14:textId="649BE3D5" w:rsidR="00440A88" w:rsidRDefault="00440A88" w:rsidP="00D2036E">
            <w:pPr>
              <w:pStyle w:val="NoSpacing"/>
            </w:pPr>
            <w:r w:rsidRPr="001D0041">
              <w:rPr>
                <w:sz w:val="20"/>
                <w:szCs w:val="20"/>
              </w:rPr>
              <w:t xml:space="preserve">Clinicians are able to monitor multiple patients </w:t>
            </w:r>
            <w:r w:rsidRPr="001D0041">
              <w:rPr>
                <w:b/>
                <w:bCs/>
                <w:sz w:val="20"/>
                <w:szCs w:val="20"/>
              </w:rPr>
              <w:t>remotely</w:t>
            </w:r>
            <w:r w:rsidRPr="001D0041">
              <w:rPr>
                <w:sz w:val="20"/>
                <w:szCs w:val="20"/>
              </w:rPr>
              <w:t xml:space="preserve">, </w:t>
            </w:r>
            <w:r w:rsidR="00D81FDB">
              <w:rPr>
                <w:sz w:val="20"/>
                <w:szCs w:val="20"/>
              </w:rPr>
              <w:t xml:space="preserve">(see clinic app running here), </w:t>
            </w:r>
            <w:r w:rsidRPr="001D0041">
              <w:rPr>
                <w:sz w:val="20"/>
                <w:szCs w:val="20"/>
              </w:rPr>
              <w:t xml:space="preserve">with the ability </w:t>
            </w:r>
            <w:r w:rsidR="00163A4E">
              <w:rPr>
                <w:sz w:val="20"/>
                <w:szCs w:val="20"/>
              </w:rPr>
              <w:t>to be</w:t>
            </w:r>
            <w:r w:rsidRPr="001D0041">
              <w:rPr>
                <w:sz w:val="20"/>
                <w:szCs w:val="20"/>
              </w:rPr>
              <w:t xml:space="preserve"> </w:t>
            </w:r>
            <w:r w:rsidR="00D81FDB">
              <w:rPr>
                <w:sz w:val="20"/>
                <w:szCs w:val="20"/>
              </w:rPr>
              <w:t xml:space="preserve">notified </w:t>
            </w:r>
            <w:r w:rsidR="00163A4E">
              <w:rPr>
                <w:sz w:val="20"/>
                <w:szCs w:val="20"/>
              </w:rPr>
              <w:t>of</w:t>
            </w:r>
            <w:r w:rsidR="00D81FDB">
              <w:rPr>
                <w:sz w:val="20"/>
                <w:szCs w:val="20"/>
              </w:rPr>
              <w:t xml:space="preserve"> their</w:t>
            </w:r>
            <w:r w:rsidRPr="001D0041">
              <w:rPr>
                <w:sz w:val="20"/>
                <w:szCs w:val="20"/>
              </w:rPr>
              <w:t xml:space="preserve"> patients’ temperature alert thresholds </w:t>
            </w:r>
            <w:r w:rsidR="00F70110">
              <w:rPr>
                <w:sz w:val="20"/>
                <w:szCs w:val="20"/>
              </w:rPr>
              <w:t>being</w:t>
            </w:r>
            <w:r w:rsidR="00D81FDB">
              <w:rPr>
                <w:sz w:val="20"/>
                <w:szCs w:val="20"/>
              </w:rPr>
              <w:t xml:space="preserve"> </w:t>
            </w:r>
            <w:r w:rsidRPr="001D0041">
              <w:rPr>
                <w:sz w:val="20"/>
                <w:szCs w:val="20"/>
              </w:rPr>
              <w:t>triggered.</w:t>
            </w:r>
          </w:p>
        </w:tc>
        <w:tc>
          <w:tcPr>
            <w:tcW w:w="4388" w:type="dxa"/>
          </w:tcPr>
          <w:p w14:paraId="71DB0853" w14:textId="1E39B246" w:rsidR="00440A88" w:rsidRDefault="00440A88" w:rsidP="00D2036E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2995CA5E" wp14:editId="756BF16C">
                  <wp:extent cx="1931035" cy="2574536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611" cy="2585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2B862B" w14:textId="77777777" w:rsidR="001D0041" w:rsidRDefault="001D0041" w:rsidP="00D2036E">
      <w:pPr>
        <w:pStyle w:val="NoSpacing"/>
      </w:pPr>
    </w:p>
    <w:tbl>
      <w:tblPr>
        <w:tblStyle w:val="PlainTable3"/>
        <w:tblW w:w="0" w:type="auto"/>
        <w:tblLook w:val="0600" w:firstRow="0" w:lastRow="0" w:firstColumn="0" w:lastColumn="0" w:noHBand="1" w:noVBand="1"/>
      </w:tblPr>
      <w:tblGrid>
        <w:gridCol w:w="5203"/>
        <w:gridCol w:w="4157"/>
      </w:tblGrid>
      <w:tr w:rsidR="00A24D00" w14:paraId="2FF56FDD" w14:textId="77777777" w:rsidTr="001D0041">
        <w:tc>
          <w:tcPr>
            <w:tcW w:w="5203" w:type="dxa"/>
          </w:tcPr>
          <w:p w14:paraId="040D1B3D" w14:textId="7500CA64" w:rsidR="00440A88" w:rsidRDefault="00440A88" w:rsidP="00D2036E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59385329" wp14:editId="7DEEF95C">
                  <wp:extent cx="2735423" cy="2686050"/>
                  <wp:effectExtent l="0" t="0" r="825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9837" cy="27296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7" w:type="dxa"/>
          </w:tcPr>
          <w:p w14:paraId="2F57740E" w14:textId="77777777" w:rsidR="00440A88" w:rsidRDefault="00440A88" w:rsidP="00D2036E">
            <w:pPr>
              <w:pStyle w:val="NoSpacing"/>
            </w:pPr>
          </w:p>
          <w:p w14:paraId="328649E6" w14:textId="77777777" w:rsidR="00A24D00" w:rsidRDefault="00A24D00" w:rsidP="00D2036E">
            <w:pPr>
              <w:pStyle w:val="NoSpacing"/>
            </w:pPr>
          </w:p>
          <w:p w14:paraId="105F228E" w14:textId="77777777" w:rsidR="00A24D00" w:rsidRDefault="00A24D00" w:rsidP="00D2036E">
            <w:pPr>
              <w:pStyle w:val="NoSpacing"/>
            </w:pPr>
          </w:p>
          <w:p w14:paraId="493F26D4" w14:textId="02EA5489" w:rsidR="00A24D00" w:rsidRDefault="00A24D00" w:rsidP="00163A4E">
            <w:pPr>
              <w:pStyle w:val="NoSpacing"/>
              <w:jc w:val="center"/>
              <w:rPr>
                <w:sz w:val="8"/>
                <w:szCs w:val="8"/>
              </w:rPr>
            </w:pPr>
            <w:r w:rsidRPr="001D0041">
              <w:rPr>
                <w:sz w:val="20"/>
                <w:szCs w:val="20"/>
              </w:rPr>
              <w:t>For information about the TempTraq Continuous, Real-Time Body Temperature Monitoring System, please contact Med</w:t>
            </w:r>
            <w:r w:rsidRPr="001D0041">
              <w:rPr>
                <w:i/>
                <w:iCs/>
                <w:sz w:val="20"/>
                <w:szCs w:val="20"/>
              </w:rPr>
              <w:t>Tach</w:t>
            </w:r>
            <w:r w:rsidRPr="001D0041">
              <w:rPr>
                <w:sz w:val="20"/>
                <w:szCs w:val="20"/>
              </w:rPr>
              <w:t>:</w:t>
            </w:r>
          </w:p>
          <w:p w14:paraId="72B9AB3D" w14:textId="77777777" w:rsidR="001D0041" w:rsidRPr="001D0041" w:rsidRDefault="001D0041" w:rsidP="00163A4E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290CC8B5" w14:textId="736DDE88" w:rsidR="00A24D00" w:rsidRPr="001D0041" w:rsidRDefault="00F70110" w:rsidP="00163A4E">
            <w:pPr>
              <w:pStyle w:val="NoSpacing"/>
              <w:jc w:val="center"/>
              <w:rPr>
                <w:b/>
                <w:bCs/>
                <w:sz w:val="8"/>
                <w:szCs w:val="8"/>
              </w:rPr>
            </w:pPr>
            <w:hyperlink r:id="rId8" w:history="1">
              <w:r w:rsidR="00A24D00" w:rsidRPr="00A24D00">
                <w:rPr>
                  <w:rStyle w:val="Hyperlink"/>
                  <w:b/>
                  <w:bCs/>
                  <w:sz w:val="24"/>
                  <w:szCs w:val="24"/>
                </w:rPr>
                <w:t>info@medtach.com</w:t>
              </w:r>
            </w:hyperlink>
          </w:p>
          <w:p w14:paraId="0E3B4AA5" w14:textId="77777777" w:rsidR="001D0041" w:rsidRPr="00A24D00" w:rsidRDefault="00F70110" w:rsidP="00163A4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hyperlink r:id="rId9" w:history="1">
              <w:r w:rsidR="001D0041" w:rsidRPr="00A24D00">
                <w:rPr>
                  <w:rStyle w:val="Hyperlink"/>
                  <w:b/>
                  <w:bCs/>
                  <w:sz w:val="24"/>
                  <w:szCs w:val="24"/>
                </w:rPr>
                <w:t>www.medtach.com</w:t>
              </w:r>
            </w:hyperlink>
          </w:p>
          <w:p w14:paraId="58FF01FD" w14:textId="77777777" w:rsidR="001D0041" w:rsidRPr="00A24D00" w:rsidRDefault="001D0041" w:rsidP="00163A4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14:paraId="36535749" w14:textId="77777777" w:rsidR="00A24D00" w:rsidRPr="00A24D00" w:rsidRDefault="00A24D00" w:rsidP="00A24D00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  <w:p w14:paraId="05DAA4EB" w14:textId="10C19EFA" w:rsidR="00A24D00" w:rsidRDefault="00A24D00" w:rsidP="00A24D00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6EFCAA12" wp14:editId="719CF80A">
                  <wp:extent cx="2503107" cy="762000"/>
                  <wp:effectExtent l="0" t="0" r="0" b="0"/>
                  <wp:docPr id="16" name="Picture 1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text, clipart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076" cy="764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E3DD50" w14:textId="5FB104E8" w:rsidR="00CC77FD" w:rsidRPr="00440A88" w:rsidRDefault="00CC77FD" w:rsidP="00A24D00">
      <w:pPr>
        <w:pStyle w:val="NoSpacing"/>
      </w:pPr>
    </w:p>
    <w:sectPr w:rsidR="00CC77FD" w:rsidRPr="00440A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EA"/>
    <w:rsid w:val="000E6BDA"/>
    <w:rsid w:val="00163A4E"/>
    <w:rsid w:val="001D0041"/>
    <w:rsid w:val="00403265"/>
    <w:rsid w:val="00440A88"/>
    <w:rsid w:val="00536112"/>
    <w:rsid w:val="00564BB5"/>
    <w:rsid w:val="005B40EA"/>
    <w:rsid w:val="005D6126"/>
    <w:rsid w:val="005E7036"/>
    <w:rsid w:val="006D75C5"/>
    <w:rsid w:val="006F567E"/>
    <w:rsid w:val="00764246"/>
    <w:rsid w:val="00791C0E"/>
    <w:rsid w:val="007C27FD"/>
    <w:rsid w:val="00810764"/>
    <w:rsid w:val="00A04704"/>
    <w:rsid w:val="00A24D00"/>
    <w:rsid w:val="00BC223A"/>
    <w:rsid w:val="00C62E5E"/>
    <w:rsid w:val="00CB249E"/>
    <w:rsid w:val="00CC77FD"/>
    <w:rsid w:val="00CF6036"/>
    <w:rsid w:val="00D2036E"/>
    <w:rsid w:val="00D81FDB"/>
    <w:rsid w:val="00E0065A"/>
    <w:rsid w:val="00E87CAE"/>
    <w:rsid w:val="00F356EA"/>
    <w:rsid w:val="00F7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B0C56"/>
  <w15:chartTrackingRefBased/>
  <w15:docId w15:val="{A58A594E-B7B1-49B6-9D9C-C87A818C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0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40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0E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40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440A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dtach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jpg"/><Relationship Id="rId4" Type="http://schemas.openxmlformats.org/officeDocument/2006/relationships/image" Target="media/image1.png"/><Relationship Id="rId9" Type="http://schemas.openxmlformats.org/officeDocument/2006/relationships/hyperlink" Target="http://www.medta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Greig Findley</dc:creator>
  <cp:keywords/>
  <dc:description/>
  <cp:lastModifiedBy>Greig Findley</cp:lastModifiedBy>
  <cp:revision>2</cp:revision>
  <dcterms:created xsi:type="dcterms:W3CDTF">2021-05-20T16:48:00Z</dcterms:created>
  <dcterms:modified xsi:type="dcterms:W3CDTF">2021-05-20T16:48:00Z</dcterms:modified>
</cp:coreProperties>
</file>